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W w:type="dxa" w:w="10106"/>
            <w:tcBorders>
              <w:top w:val="single" w:color="2E86C1" w:sz="3"/>
              <w:left w:val="single" w:color="AED6F1" w:sz="1"/>
              <w:bottom w:val="single" w:color="AED6F1" w:sz="1"/>
              <w:right w:val="single" w:color="AED6F1" w:sz="1"/>
            </w:tcBorders>
            <w:shd w:fill="EBF5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B4F72"/>
                <w:sz w:val="20"/>
                <w:szCs w:val="20"/>
              </w:rPr>
              <w:t xml:space="preserve">Warum erhalten Sie dieses Merkblatt?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Als Steuerberater sind wir nach dem </w:t>
            </w:r>
            <w:r>
              <w:rPr>
                <w:rFonts w:ascii="Arial" w:cs="Arial" w:eastAsia="Arial" w:hAnsi="Arial"/>
                <w:b/>
                <w:bCs/>
                <w:color w:val="2C3E50"/>
                <w:sz w:val="18"/>
                <w:szCs w:val="18"/>
              </w:rPr>
              <w:t xml:space="preserve">Geldwäschegesetz (GwG)</w:t>
            </w: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 gesetzlich verpflichtet, bestimmte Sorgfaltspflichten zu erfüllen. Diese dienen der Bekämpfung von Geldwäsche und Terrorismusfinanzierung. Wir möchten Sie über die wesentlichen Maßnahmen informieren, die uns auch Ihnen gegenüber obliegen.</w:t>
            </w:r>
          </w:p>
        </w:tc>
      </w:tr>
    </w:tbl>
    <w:p>
      <w:pPr>
        <w:spacing w:after="10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78"/>
        <w:gridCol w:w="150"/>
        <w:gridCol w:w="4978"/>
      </w:tblGrid>
      <w:tr>
        <w:tc>
          <w:tcPr>
            <w:tcW w:type="dxa" w:w="4978"/>
            <w:tcBorders>
              <w:top w:val="single" w:color="AED6F1" w:sz="1"/>
              <w:left w:val="single" w:color="AED6F1" w:sz="1"/>
              <w:bottom w:val="single" w:color="AED6F1" w:sz="1"/>
              <w:right w:val="single" w:color="AED6F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E86C1"/>
                <w:sz w:val="19"/>
                <w:szCs w:val="19"/>
              </w:rPr>
              <w:t xml:space="preserve">📋  Identifizierungspflicht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Wir sind verpflichtet, die Identität unserer Mandanten bei Begründung der Geschäftsbeziehung festzustellen und zu überprüfen (§§ 10, 11, 12 GwG).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C3E50"/>
                <w:sz w:val="18"/>
                <w:szCs w:val="18"/>
              </w:rPr>
              <w:t xml:space="preserve">Bei natürlichen Personen </w:t>
            </w: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erheben wir: Vor- und Nachname, Geburtsdatum, Geburtsort, Staatsangehörigkeit und Wohnanschrift.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C3E50"/>
                <w:sz w:val="18"/>
                <w:szCs w:val="18"/>
              </w:rPr>
              <w:t xml:space="preserve">Bei juristischen Personen </w:t>
            </w: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erheben wir: Firma, Rechtsform, Registernummer, Sitz und Namen der Vertretungsorgane.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978"/>
            <w:tcBorders>
              <w:top w:val="single" w:color="AED6F1" w:sz="1"/>
              <w:left w:val="single" w:color="AED6F1" w:sz="1"/>
              <w:bottom w:val="single" w:color="AED6F1" w:sz="1"/>
              <w:right w:val="single" w:color="AED6F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E86C1"/>
                <w:sz w:val="19"/>
                <w:szCs w:val="19"/>
              </w:rPr>
              <w:t xml:space="preserve">🔍  Wirtschaftlich Berechtigte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Wir müssen ermitteln, ob ein </w:t>
            </w:r>
            <w:r>
              <w:rPr>
                <w:rFonts w:ascii="Arial" w:cs="Arial" w:eastAsia="Arial" w:hAnsi="Arial"/>
                <w:b/>
                <w:bCs/>
                <w:color w:val="2C3E50"/>
                <w:sz w:val="18"/>
                <w:szCs w:val="18"/>
              </w:rPr>
              <w:t xml:space="preserve">wirtschaftlich Berechtigter</w:t>
            </w: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 hinter einer juristischen Person oder Personengesellschaft steht (§ 3 GwG).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Dies ist die natürliche Person, in deren Eigentum oder unter deren Kontrolle der Mandant letztlich steht.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Ein Abgleich mit dem </w:t>
            </w:r>
            <w:r>
              <w:rPr>
                <w:rFonts w:ascii="Arial" w:cs="Arial" w:eastAsia="Arial" w:hAnsi="Arial"/>
                <w:b/>
                <w:bCs/>
                <w:color w:val="2C3E50"/>
                <w:sz w:val="18"/>
                <w:szCs w:val="18"/>
              </w:rPr>
              <w:t xml:space="preserve">Transparenzregister</w:t>
            </w: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 ist gesetzlich vorgeschrieben.</w:t>
            </w:r>
          </w:p>
        </w:tc>
      </w:tr>
    </w:tbl>
    <w:p>
      <w:pPr>
        <w:spacing w:after="10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W w:type="dxa" w:w="10106"/>
            <w:tcBorders>
              <w:top w:val="single" w:color="1B4F72" w:sz="4"/>
              <w:left w:val="single" w:color="1B4F72" w:sz="4"/>
              <w:bottom w:val="single" w:color="1B4F72" w:sz="4"/>
              <w:right w:val="single" w:color="1B4F72" w:sz="4"/>
            </w:tcBorders>
            <w:shd w:fill="D4E6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  <w:jc w:val="center"/>
            </w:pPr>
            <w:r>
              <w:rPr>
                <w:rFonts w:ascii="Segoe UI Emoji" w:cs="Segoe UI Emoji" w:eastAsia="Segoe UI Emoji" w:hAnsi="Segoe UI Emoji"/>
                <w:sz w:val="24"/>
                <w:szCs w:val="24"/>
              </w:rPr>
              <w:t xml:space="preserve">🛈  </w:t>
            </w:r>
            <w:r>
              <w:rPr>
                <w:rFonts w:ascii="Arial" w:cs="Arial" w:eastAsia="Arial" w:hAnsi="Arial"/>
                <w:b/>
                <w:bCs/>
                <w:color w:val="1B4F72"/>
                <w:sz w:val="22"/>
                <w:szCs w:val="22"/>
              </w:rPr>
              <w:t xml:space="preserve">WICHTIGER HINWEIS ZUR AUSWEISKOPIE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Gemäß </w:t>
            </w:r>
            <w:r>
              <w:rPr>
                <w:rFonts w:ascii="Arial" w:cs="Arial" w:eastAsia="Arial" w:hAnsi="Arial"/>
                <w:b/>
                <w:bCs/>
                <w:color w:val="2C3E50"/>
                <w:sz w:val="18"/>
                <w:szCs w:val="18"/>
              </w:rPr>
              <w:t xml:space="preserve">§ 8 Abs. 2 GwG</w:t>
            </w: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 sind wir berechtigt und verpflichtet, eine </w:t>
            </w:r>
            <w:r>
              <w:rPr>
                <w:rFonts w:ascii="Arial" w:cs="Arial" w:eastAsia="Arial" w:hAnsi="Arial"/>
                <w:b/>
                <w:bCs/>
                <w:color w:val="2C3E50"/>
                <w:sz w:val="18"/>
                <w:szCs w:val="18"/>
              </w:rPr>
              <w:t xml:space="preserve">Kopie oder einen Scan Ihres gültigen amtlichen Ausweisdokuments</w:t>
            </w: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 (Personalausweis oder Reisepass) anzufertigen und zu unseren Akten zu nehmen. Diese Kopie dient ausschließlich der gesetzlich vorgeschriebenen Dokumentation der Identitätsprüfung.</w:t>
            </w:r>
          </w:p>
        </w:tc>
      </w:tr>
    </w:tbl>
    <w:p>
      <w:pPr>
        <w:spacing w:after="10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78"/>
        <w:gridCol w:w="150"/>
        <w:gridCol w:w="4978"/>
      </w:tblGrid>
      <w:tr>
        <w:tc>
          <w:tcPr>
            <w:tcW w:type="dxa" w:w="4978"/>
            <w:tcBorders>
              <w:top w:val="single" w:color="AED6F1" w:sz="1"/>
              <w:left w:val="single" w:color="AED6F1" w:sz="1"/>
              <w:bottom w:val="single" w:color="AED6F1" w:sz="1"/>
              <w:right w:val="single" w:color="AED6F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E86C1"/>
                <w:sz w:val="19"/>
                <w:szCs w:val="19"/>
              </w:rPr>
              <w:t xml:space="preserve">📂  Aufbewahrung &amp; Datenschutz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Alle im Rahmen der Identifizierung erhobenen Daten und Nachweise werden gemäß § 8 GwG für </w:t>
            </w:r>
            <w:r>
              <w:rPr>
                <w:rFonts w:ascii="Arial" w:cs="Arial" w:eastAsia="Arial" w:hAnsi="Arial"/>
                <w:b/>
                <w:bCs/>
                <w:color w:val="2C3E50"/>
                <w:sz w:val="18"/>
                <w:szCs w:val="18"/>
              </w:rPr>
              <w:t xml:space="preserve">mindestens 5 Jahre</w:t>
            </w: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 aufbewahrt.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Die Verarbeitung personenbezogener Daten für GwG-Zwecke ist gemäß § 11a GwG </w:t>
            </w:r>
            <w:r>
              <w:rPr>
                <w:rFonts w:ascii="Arial" w:cs="Arial" w:eastAsia="Arial" w:hAnsi="Arial"/>
                <w:b/>
                <w:bCs/>
                <w:color w:val="2C3E50"/>
                <w:sz w:val="18"/>
                <w:szCs w:val="18"/>
              </w:rPr>
              <w:t xml:space="preserve">datenschutzrechtlich zulässig</w:t>
            </w: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Nach Ablauf der Aufbewahrungsfrist werden die Daten gelöscht bzw. vernichtet.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978"/>
            <w:tcBorders>
              <w:top w:val="single" w:color="AED6F1" w:sz="1"/>
              <w:left w:val="single" w:color="AED6F1" w:sz="1"/>
              <w:bottom w:val="single" w:color="AED6F1" w:sz="1"/>
              <w:right w:val="single" w:color="AED6F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E86C1"/>
                <w:sz w:val="19"/>
                <w:szCs w:val="19"/>
              </w:rPr>
              <w:t xml:space="preserve">⚖️  Politisch exponierte Personen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Wir sind verpflichtet zu prüfen, ob Sie oder ein wirtschaftlich Berechtigter eine </w:t>
            </w:r>
            <w:r>
              <w:rPr>
                <w:rFonts w:ascii="Arial" w:cs="Arial" w:eastAsia="Arial" w:hAnsi="Arial"/>
                <w:b/>
                <w:bCs/>
                <w:color w:val="2C3E50"/>
                <w:sz w:val="18"/>
                <w:szCs w:val="18"/>
              </w:rPr>
              <w:t xml:space="preserve">politisch exponierte Person (PEP)</w:t>
            </w: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 sind (§ 1 Abs. 12 GwG).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PEPs sind z. B. Staats- und Regierungschefs, Minister, Abgeordnete, Botschafter sowie deren Familienangehörige und nahestehende Personen.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Hierzu kann eine </w:t>
            </w:r>
            <w:r>
              <w:rPr>
                <w:rFonts w:ascii="Arial" w:cs="Arial" w:eastAsia="Arial" w:hAnsi="Arial"/>
                <w:b/>
                <w:bCs/>
                <w:color w:val="2C3E50"/>
                <w:sz w:val="18"/>
                <w:szCs w:val="18"/>
              </w:rPr>
              <w:t xml:space="preserve">Selbstauskunft</w:t>
            </w:r>
            <w:r>
              <w:rPr>
                <w:rFonts w:ascii="Arial" w:cs="Arial" w:eastAsia="Arial" w:hAnsi="Arial"/>
                <w:color w:val="2C3E50"/>
                <w:sz w:val="18"/>
                <w:szCs w:val="18"/>
              </w:rPr>
              <w:t xml:space="preserve"> erforderlich sein.</w:t>
            </w:r>
          </w:p>
        </w:tc>
      </w:tr>
    </w:tbl>
    <w:p>
      <w:pPr>
        <w:spacing w:after="10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W w:type="dxa" w:w="10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4F72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Ihre Mitwirkung ist gesetzlich erforderlich</w:t>
            </w:r>
          </w:p>
        </w:tc>
      </w:tr>
    </w:tbl>
    <w:p>
      <w:pPr>
        <w:spacing w:after="40"/>
      </w:pPr>
    </w:p>
    <w:p>
      <w:pPr>
        <w:spacing w:after="40"/>
      </w:pPr>
      <w:r>
        <w:rPr>
          <w:rFonts w:ascii="Arial" w:cs="Arial" w:eastAsia="Arial" w:hAnsi="Arial"/>
          <w:color w:val="2C3E50"/>
          <w:sz w:val="18"/>
          <w:szCs w:val="18"/>
        </w:rPr>
        <w:t xml:space="preserve">Wir bitten Sie um Verständnis, dass wir diese Maßnahmen durchführen müssen. Sollten die Sorgfaltspflichten nicht erfüllt werden können, dürfen wir das Mandat </w:t>
      </w:r>
      <w:r>
        <w:rPr>
          <w:rFonts w:ascii="Arial" w:cs="Arial" w:eastAsia="Arial" w:hAnsi="Arial"/>
          <w:b/>
          <w:bCs/>
          <w:color w:val="2C3E50"/>
          <w:sz w:val="18"/>
          <w:szCs w:val="18"/>
        </w:rPr>
        <w:t xml:space="preserve">nicht annehmen bzw. nicht fortsetzen</w:t>
      </w:r>
      <w:r>
        <w:rPr>
          <w:rFonts w:ascii="Arial" w:cs="Arial" w:eastAsia="Arial" w:hAnsi="Arial"/>
          <w:color w:val="2C3E50"/>
          <w:sz w:val="18"/>
          <w:szCs w:val="18"/>
        </w:rPr>
        <w:t xml:space="preserve"> (§ 10 Abs. 9 GwG). Ihre Mitwirkung bei der Identifizierung ist daher unentbehrlich. Bei Fragen stehen wir Ihnen selbstverständlich gerne zur Verfügung.</w:t>
      </w:r>
    </w:p>
    <w:p>
      <w:pPr>
        <w:spacing w:after="40"/>
      </w:pPr>
    </w:p>
    <w:p>
      <w:pPr>
        <w:spacing w:after="0"/>
        <w:jc w:val="left"/>
      </w:pPr>
      <w:r>
        <w:rPr>
          <w:rFonts w:ascii="Arial" w:cs="Arial" w:eastAsia="Arial" w:hAnsi="Arial"/>
          <w:color w:val="2C3E50"/>
          <w:sz w:val="18"/>
          <w:szCs w:val="18"/>
        </w:rPr>
        <w:t xml:space="preserve">Vielen Dank für Ihr Verständnis und Ihre Mitwirkung.</w:t>
      </w:r>
    </w:p>
    <w:p>
      <w:pPr>
        <w:spacing w:after="40"/>
      </w:pPr>
    </w:p>
    <w:p>
      <w:pPr>
        <w:spacing w:after="0"/>
        <w:jc w:val="left"/>
      </w:pPr>
      <w:r>
        <w:rPr>
          <w:rFonts w:ascii="Arial" w:cs="Arial" w:eastAsia="Arial" w:hAnsi="Arial"/>
          <w:b/>
          <w:bCs/>
          <w:color w:val="1B4F72"/>
          <w:sz w:val="18"/>
          <w:szCs w:val="18"/>
        </w:rPr>
        <w:t xml:space="preserve">Ihre Steuerkanzlei</w:t>
      </w:r>
    </w:p>
    <w:sectPr>
      <w:headerReference w:type="default" r:id="rId6"/>
      <w:footerReference w:type="default" r:id="rId7"/>
      <w:pgSz w:w="11906" w:h="16838" w:orient="portrait"/>
      <w:pgMar w:top="700" w:right="900" w:bottom="6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101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106"/>
    </w:tblGrid>
    <w:tr>
      <w:tc>
        <w:tcPr>
          <w:tcW w:type="dxa" w:w="10106"/>
          <w:tcBorders>
            <w:top w:val="single" w:color="AED6F1" w:sz="2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0"/>
            <w:right w:type="dxa" w:w="0"/>
          </w:tcMar>
        </w:tcPr>
        <w:p>
          <w:pPr>
            <w:jc w:val="center"/>
          </w:pPr>
          <w:r>
            <w:rPr>
              <w:rFonts w:ascii="Arial" w:cs="Arial" w:eastAsia="Arial" w:hAnsi="Arial"/>
              <w:i/>
              <w:iCs/>
              <w:color w:val="999999"/>
              <w:sz w:val="14"/>
              <w:szCs w:val="14"/>
            </w:rPr>
            <w:t xml:space="preserve">Dieses Merkblatt dient der allgemeinen Information und ersetzt keine individuelle Beratung. | Rechtsgrundlage: GwG i.d.F. vom 01.08.2022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1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106"/>
    </w:tblGrid>
    <w:tr>
      <w:tc>
        <w:tcPr>
          <w:tcW w:type="dxa" w:w="10106"/>
          <w:tcBorders>
            <w:top w:val="none" w:color="FFFFFF" w:sz="0"/>
            <w:left w:val="none" w:color="FFFFFF" w:sz="0"/>
            <w:bottom w:val="single" w:color="2E86C1" w:sz="6"/>
            <w:right w:val="none" w:color="FFFFFF" w:sz="0"/>
          </w:tcBorders>
          <w:tcMar>
            <w:top w:type="dxa" w:w="0"/>
            <w:left w:type="dxa" w:w="0"/>
            <w:bottom w:type="dxa" w:w="60"/>
            <w:right w:type="dxa" w:w="0"/>
          </w:tcMar>
        </w:tcPr>
        <w:p>
          <w:pPr>
            <w:spacing w:after="40"/>
            <w:jc w:val="center"/>
          </w:pPr>
          <w:r>
            <w:rPr>
              <w:rFonts w:ascii="Segoe UI Emoji" w:cs="Segoe UI Emoji" w:eastAsia="Segoe UI Emoji" w:hAnsi="Segoe UI Emoji"/>
              <w:color w:val="2E86C1"/>
              <w:sz w:val="28"/>
              <w:szCs w:val="28"/>
            </w:rPr>
            <w:t xml:space="preserve">⚠ </w:t>
          </w:r>
          <w:r>
            <w:rPr>
              <w:rFonts w:ascii="Arial" w:cs="Arial" w:eastAsia="Arial" w:hAnsi="Arial"/>
              <w:b/>
              <w:bCs/>
              <w:color w:val="1B4F72"/>
              <w:sz w:val="28"/>
              <w:szCs w:val="28"/>
            </w:rPr>
            <w:t xml:space="preserve">INFORMATIONEN ZUR GELDWÄSCHEPRÄVENTION</w:t>
          </w:r>
        </w:p>
        <w:p>
          <w:pPr>
            <w:spacing w:after="20"/>
            <w:jc w:val="center"/>
          </w:pPr>
          <w:r>
            <w:rPr>
              <w:rFonts w:ascii="Arial" w:cs="Arial" w:eastAsia="Arial" w:hAnsi="Arial"/>
              <w:i/>
              <w:iCs/>
              <w:color w:val="2E86C1"/>
              <w:sz w:val="18"/>
              <w:szCs w:val="18"/>
            </w:rPr>
            <w:t xml:space="preserve">Hinweise für unsere Mandanten gemäß Geldwäschegesetz (GwG)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2026-02-10T07:52:54.466Z</dcterms:created>
  <dcterms:modified xsi:type="dcterms:W3CDTF">2026-02-10T07:52:54.466Z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